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FORMULARUL </w:t>
      </w:r>
      <w:r>
        <w:rPr>
          <w:rFonts w:ascii="Arial" w:cs="Arial" w:eastAsia="Arial" w:hAnsi="Arial"/>
          <w:b w:val="1"/>
          <w:bCs w:val="1"/>
          <w:i w:val="0"/>
          <w:iCs w:val="0"/>
          <w:smallCaps w:val="1"/>
          <w:strike w:val="0"/>
          <w:color w:val="000000"/>
          <w:sz w:val="22"/>
          <w:szCs w:val="22"/>
          <w:u w:val="none"/>
          <w:shd w:fill="auto" w:val="clear"/>
          <w:vertAlign w:val="baseline"/>
          <w:rtl w:val="0"/>
        </w:rPr>
        <w:t xml:space="preserve">ZONELOR PRIORITARE PENTRU BIODIVERSITATE</w:t>
      </w:r>
      <w:r>
        <w:rPr>
          <w:rtl w:val="0"/>
        </w:rPr>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 Identificarea Zonelor Prioritare pentru Biodiversitate (ZPB)</w:t>
      </w:r>
    </w:p>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1.1. Codul ZPB*</w:t>
      </w:r>
      <w:r>
        <w:rPr>
          <w:rtl w:val="0"/>
        </w:rPr>
      </w:r>
    </w:p>
    <w:p w:rsidR="00000000" w:rsidDel="00000000" w:rsidP="00000000" w:rsidRDefault="00000000" w:rsidRPr="00000000" w14:paraId="00000004">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ROSAC0262ZPB</w:t>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*Codare temporară, aceasta va fi actualizată conform specificațiilor de raportare</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1.2. Denumire ZPB</w:t>
      </w:r>
    </w:p>
    <w:p w:rsidR="00000000" w:rsidDel="00000000" w:rsidP="00000000" w:rsidRDefault="00000000" w:rsidRPr="00000000" w14:paraId="0000000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Valea Iadei</w:t>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1.3. Încadrarea ZPB în:</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152310287"/>
          <w:tag w:val="goog_rdk_0"/>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Arie naturală protejată</w:t>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70202076"/>
          <w:tag w:val="goog_rdk_1"/>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 </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OECM (Other effective area-based conservation measures)</w:t>
      </w:r>
    </w:p>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463114547"/>
          <w:tag w:val="goog_rdk_2"/>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Zonă potențială care să devină arie naturală protejată</w:t>
      </w:r>
    </w:p>
    <w:tbl>
      <w:tblPr>
        <w:tblStyle w:val="Table1"/>
        <w:tblW w:w="8980.0" w:type="dxa"/>
        <w:jc w:val="left"/>
        <w:tblInd w:w="-98.0" w:type="dxa"/>
        <w:tblLayout w:type="fixed"/>
        <w:tblLook w:val="0400"/>
      </w:tblPr>
      <w:tblGrid>
        <w:gridCol w:w="4491"/>
        <w:gridCol w:w="4489"/>
      </w:tblGrid>
      <w:tr>
        <w:trPr>
          <w:cantSplit w:val="0"/>
          <w:tblHeader w:val="0"/>
        </w:trPr>
        <w:tc>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1.4. Data completării</w:t>
            </w:r>
          </w:p>
        </w:tc>
        <w:tc>
          <w:tcPr/>
          <w:p w:rsidR="00000000" w:rsidDel="00000000" w:rsidP="00000000" w:rsidRDefault="00000000" w:rsidRPr="00000000" w14:paraId="0000000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1.5. Data actualizării</w:t>
            </w:r>
          </w:p>
        </w:tc>
      </w:tr>
      <w:tr>
        <w:trPr>
          <w:cantSplit w:val="0"/>
          <w:tblHeader w:val="0"/>
        </w:trPr>
        <w:tc>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tl w:val="0"/>
              </w:rPr>
            </w:r>
          </w:p>
          <w:tbl>
            <w:tblPr>
              <w:tblStyle w:val="Table2"/>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0</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3"/>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1.6. Responsabili - Nume/Organizație:</w:t>
      </w:r>
    </w:p>
    <w:p w:rsidR="00000000" w:rsidDel="00000000" w:rsidP="00000000" w:rsidRDefault="00000000" w:rsidRPr="00000000" w14:paraId="0000002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1.7. Datele indicării și desemnării ca ZPB</w:t>
      </w:r>
    </w:p>
    <w:tbl>
      <w:tblPr>
        <w:tblStyle w:val="Table4"/>
        <w:tblW w:w="8980.0" w:type="dxa"/>
        <w:jc w:val="left"/>
        <w:tblInd w:w="-98.0" w:type="dxa"/>
        <w:tblLayout w:type="fixed"/>
        <w:tblLook w:val="0400"/>
      </w:tblPr>
      <w:tblGrid>
        <w:gridCol w:w="4454"/>
        <w:gridCol w:w="4526"/>
      </w:tblGrid>
      <w:tr>
        <w:trPr>
          <w:cantSplit w:val="0"/>
          <w:tblHeader w:val="0"/>
        </w:trPr>
        <w:tc>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Data desemnării ca ZPB:</w:t>
            </w:r>
          </w:p>
        </w:tc>
        <w:tc>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bl>
            <w:tblPr>
              <w:tblStyle w:val="Table5"/>
              <w:tblW w:w="1800.0" w:type="dxa"/>
              <w:jc w:val="left"/>
              <w:tblLayout w:type="fixed"/>
              <w:tblLook w:val="0400"/>
            </w:tblPr>
            <w:tblGrid>
              <w:gridCol w:w="301"/>
              <w:gridCol w:w="299"/>
              <w:gridCol w:w="301"/>
              <w:gridCol w:w="300"/>
              <w:gridCol w:w="299"/>
              <w:gridCol w:w="30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Y</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w:t>
                  </w:r>
                </w:p>
              </w:tc>
            </w:tr>
          </w:tbl>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bl>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2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Referința legală națională a desemnării ZPB:</w:t>
      </w:r>
    </w:p>
    <w:p w:rsidR="00000000" w:rsidDel="00000000" w:rsidP="00000000" w:rsidRDefault="00000000" w:rsidRPr="00000000" w14:paraId="0000003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3E">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 Localizarea Zonelor Prioritare pentru Biodiversitate (ZPB)</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2.1. Suprafața totală a ZPB (ha)</w:t>
      </w:r>
    </w:p>
    <w:p w:rsidR="00000000" w:rsidDel="00000000" w:rsidP="00000000" w:rsidRDefault="00000000" w:rsidRPr="00000000" w14:paraId="0000004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454,97</w:t>
      </w:r>
    </w:p>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2.2. Procentul ocupat de ZPB din suprafața totală a ariei naturale protejate</w:t>
      </w:r>
    </w:p>
    <w:p w:rsidR="00000000" w:rsidDel="00000000" w:rsidP="00000000" w:rsidRDefault="00000000" w:rsidRPr="00000000" w14:paraId="0000004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15,28%</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2.3. Încadrarea ZPB în regiunile administrative</w:t>
      </w:r>
    </w:p>
    <w:tbl>
      <w:tblPr>
        <w:tblStyle w:val="Table6"/>
        <w:tblW w:w="8980.0" w:type="dxa"/>
        <w:jc w:val="left"/>
        <w:tblInd w:w="-98.0" w:type="dxa"/>
        <w:tblLayout w:type="fixed"/>
        <w:tblLook w:val="0400"/>
      </w:tblPr>
      <w:tblGrid>
        <w:gridCol w:w="3157"/>
        <w:gridCol w:w="443"/>
        <w:gridCol w:w="5380"/>
      </w:tblGrid>
      <w:tr>
        <w:trPr>
          <w:cantSplit w:val="0"/>
          <w:tblHeader w:val="0"/>
        </w:trPr>
        <w:tc>
          <w:tcPr/>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NUTS</w:t>
            </w:r>
          </w:p>
        </w:tc>
        <w:tc>
          <w:tcPr/>
          <w:p w:rsidR="00000000" w:rsidDel="00000000" w:rsidP="00000000" w:rsidRDefault="00000000" w:rsidRPr="00000000" w14:paraId="000000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p w:rsidR="00000000" w:rsidDel="00000000" w:rsidP="00000000" w:rsidRDefault="00000000" w:rsidRPr="00000000" w14:paraId="000000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RO11</w:t>
            </w:r>
          </w:p>
        </w:tc>
        <w:tc>
          <w:tcPr/>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Nord-Vest</w:t>
            </w:r>
          </w:p>
        </w:tc>
      </w:tr>
    </w:tbl>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Numele Județului/Județelor</w:t>
      </w:r>
    </w:p>
    <w:p w:rsidR="00000000" w:rsidDel="00000000" w:rsidP="00000000" w:rsidRDefault="00000000" w:rsidRPr="00000000" w14:paraId="0000004B">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Bihor</w:t>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2.4. Încadrarea ZPB în regiunile biogeografice</w:t>
      </w:r>
    </w:p>
    <w:tbl>
      <w:tblPr>
        <w:tblStyle w:val="Table7"/>
        <w:tblW w:w="8980.0" w:type="dxa"/>
        <w:jc w:val="left"/>
        <w:tblInd w:w="-98.0" w:type="dxa"/>
        <w:tblLayout w:type="fixed"/>
        <w:tblLook w:val="0400"/>
      </w:tblPr>
      <w:tblGrid>
        <w:gridCol w:w="2803"/>
        <w:gridCol w:w="236"/>
        <w:gridCol w:w="2874"/>
        <w:gridCol w:w="236"/>
        <w:gridCol w:w="2831"/>
      </w:tblGrid>
      <w:tr>
        <w:trPr>
          <w:cantSplit w:val="0"/>
          <w:tblHeader w:val="0"/>
        </w:trPr>
        <w:tc>
          <w:tcPr/>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673825068"/>
                <w:tag w:val="goog_rdk_3"/>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Alpină 100%</w:t>
            </w:r>
          </w:p>
        </w:tc>
        <w:tc>
          <w:tcPr/>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429966977"/>
                <w:tag w:val="goog_rdk_4"/>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Continentală %</w:t>
            </w:r>
          </w:p>
        </w:tc>
        <w:tc>
          <w:tcPr/>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207979181"/>
                <w:tag w:val="goog_rdk_5"/>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Panonică %</w:t>
            </w:r>
          </w:p>
        </w:tc>
      </w:tr>
      <w:tr>
        <w:trPr>
          <w:cantSplit w:val="0"/>
          <w:tblHeader w:val="0"/>
        </w:trPr>
        <w:tc>
          <w:tcPr/>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033923947"/>
                <w:tag w:val="goog_rdk_6"/>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Stepică %</w:t>
            </w:r>
          </w:p>
        </w:tc>
        <w:tc>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927200053"/>
                <w:tag w:val="goog_rdk_7"/>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Pontică %</w:t>
            </w:r>
          </w:p>
        </w:tc>
        <w:tc>
          <w:tcPr/>
          <w:p w:rsidR="00000000" w:rsidDel="00000000" w:rsidP="00000000" w:rsidRDefault="00000000" w:rsidRPr="00000000" w14:paraId="000000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c>
          <w:tcPr/>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sdt>
              <w:sdtPr>
                <w:id w:val="1615456013"/>
                <w:tag w:val="goog_rdk_8"/>
              </w:sdtPr>
              <w:sdtContent>
                <w:r>
                  <w:rPr>
                    <w:rFonts w:ascii="Arial Unicode MS" w:cs="Arial Unicode MS" w:eastAsia="Arial Unicode MS" w:hAnsi="Arial Unicode MS"/>
                    <w:b w:val="0"/>
                    <w:bCs w:val="0"/>
                    <w:i w:val="0"/>
                    <w:iCs w:val="0"/>
                    <w:smallCaps w:val="0"/>
                    <w:strike w:val="0"/>
                    <w:color w:val="000000"/>
                    <w:sz w:val="22"/>
                    <w:szCs w:val="22"/>
                    <w:u w:val="none"/>
                    <w:shd w:fill="auto" w:val="clear"/>
                    <w:vertAlign w:val="baseline"/>
                    <w:rtl w:val="0"/>
                  </w:rPr>
                  <w:t xml:space="preserve">☐</w:t>
                </w:r>
              </w:sdtContent>
            </w:sdt>
            <w:r>
              <w:rPr>
                <w:rFonts w:ascii="Arial" w:cs="Arial" w:eastAsia="Arial" w:hAnsi="Arial"/>
                <w:b w:val="0"/>
                <w:bCs w:val="0"/>
                <w:i w:val="0"/>
                <w:iCs w:val="0"/>
                <w:smallCaps w:val="0"/>
                <w:strike w:val="0"/>
                <w:color w:val="000000"/>
                <w:sz w:val="22"/>
                <w:szCs w:val="22"/>
                <w:u w:val="none"/>
                <w:shd w:fill="auto" w:val="clear"/>
                <w:vertAlign w:val="baseline"/>
                <w:rtl w:val="0"/>
              </w:rPr>
              <w:t xml:space="preserve"> Marea Neagră %</w:t>
            </w:r>
          </w:p>
        </w:tc>
      </w:tr>
    </w:tbl>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3.1. Numărul Zonelor Prioritare pentru Biodiversitate distincte de pe teritoriul ariei naturale protejate:</w:t>
      </w:r>
    </w:p>
    <w:p w:rsidR="00000000" w:rsidDel="00000000" w:rsidP="00000000" w:rsidRDefault="00000000" w:rsidRPr="00000000" w14:paraId="0000005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 Descrierea Zonelor Prioritare pentru Biodiversitate distincte</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 Zona Prioritară pentru Biodiversitate nr. 1</w:t>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3.2.1.1. Cod Zona Prioritară pentru Biodiversitate nr. 1</w:t>
      </w:r>
    </w:p>
    <w:p w:rsidR="00000000" w:rsidDel="00000000" w:rsidP="00000000" w:rsidRDefault="00000000" w:rsidRPr="00000000" w14:paraId="0000005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3.2.1.2.  Detalii privind Zona Prioritară pentru Biodiversitate nr. 1</w:t>
      </w:r>
    </w:p>
    <w:p w:rsidR="00000000" w:rsidDel="00000000" w:rsidP="00000000" w:rsidRDefault="00000000" w:rsidRPr="00000000" w14:paraId="000000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6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199,05</w:t>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63">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4">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065">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2525/2016 privind constituirea Catalogului național al pădurilor virgine și cvasivirgine din România;</w:t>
      </w:r>
    </w:p>
    <w:p w:rsidR="00000000" w:rsidDel="00000000" w:rsidP="00000000" w:rsidRDefault="00000000" w:rsidRPr="00000000" w14:paraId="00000066">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8"/>
        <w:tblW w:w="8964.0" w:type="dxa"/>
        <w:jc w:val="left"/>
        <w:tblInd w:w="-97.00000000000001" w:type="dxa"/>
        <w:tblLayout w:type="fixed"/>
        <w:tblLook w:val="0400"/>
      </w:tblPr>
      <w:tblGrid>
        <w:gridCol w:w="4500"/>
        <w:gridCol w:w="4464"/>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r>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91V0 Păduri dacice de fag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Symphyto-Fagion</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07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07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07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07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A217 Glaucidium passerinum</w:t>
            </w:r>
          </w:p>
          <w:p w:rsidR="00000000" w:rsidDel="00000000" w:rsidP="00000000" w:rsidRDefault="00000000" w:rsidRPr="00000000" w14:paraId="0000007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 </w:t>
            </w:r>
          </w:p>
          <w:p w:rsidR="00000000" w:rsidDel="00000000" w:rsidP="00000000" w:rsidRDefault="00000000" w:rsidRPr="00000000" w14:paraId="000000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 </w:t>
            </w:r>
          </w:p>
          <w:p w:rsidR="00000000" w:rsidDel="00000000" w:rsidP="00000000" w:rsidRDefault="00000000" w:rsidRPr="00000000" w14:paraId="0000007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8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83">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Nu este cazul</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PVCV </w:t>
            </w:r>
            <w:r>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08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8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08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09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9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9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098">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 Zona Prioritară pentru Biodiversitate nr. 2</w:t>
      </w:r>
    </w:p>
    <w:p w:rsidR="00000000" w:rsidDel="00000000" w:rsidP="00000000" w:rsidRDefault="00000000" w:rsidRPr="00000000" w14:paraId="0000009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3.2.2.1. Cod Zona Prioritară pentru Biodiversitate nr. 2</w:t>
      </w:r>
    </w:p>
    <w:p w:rsidR="00000000" w:rsidDel="00000000" w:rsidP="00000000" w:rsidRDefault="00000000" w:rsidRPr="00000000" w14:paraId="0000009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ZPB2</w:t>
      </w:r>
    </w:p>
    <w:p w:rsidR="00000000" w:rsidDel="00000000" w:rsidP="00000000" w:rsidRDefault="00000000" w:rsidRPr="00000000" w14:paraId="0000009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3.2.2.2.  Detalii privind Zona Prioritară pentru Biodiversitate nr. 2</w:t>
      </w:r>
    </w:p>
    <w:p w:rsidR="00000000" w:rsidDel="00000000" w:rsidP="00000000" w:rsidRDefault="00000000" w:rsidRPr="00000000" w14:paraId="0000009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9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21,78</w:t>
      </w:r>
    </w:p>
    <w:p w:rsidR="00000000" w:rsidDel="00000000" w:rsidP="00000000" w:rsidRDefault="00000000" w:rsidRPr="00000000" w14:paraId="0000009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9F">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A0">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Legea nr. 5/2000 privind aprobarea Planului de amenajare a teritoriului național – Secțiunea a III-a – zone protejate, cu modificările și completările ulterioare: rezervația naturală RONPA0198 Valea iadului cu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Syringa josichaea;</w:t>
      </w:r>
    </w:p>
    <w:p w:rsidR="00000000" w:rsidDel="00000000" w:rsidP="00000000" w:rsidRDefault="00000000" w:rsidRPr="00000000" w14:paraId="000000A1">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0A2">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A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9"/>
        <w:tblW w:w="8964.0" w:type="dxa"/>
        <w:jc w:val="left"/>
        <w:tblInd w:w="-97.00000000000001" w:type="dxa"/>
        <w:tblLayout w:type="fixed"/>
        <w:tblLook w:val="0400"/>
      </w:tblPr>
      <w:tblGrid>
        <w:gridCol w:w="4371"/>
        <w:gridCol w:w="4593"/>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4">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5">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A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cu Alnus glutinosa și Fraxinus excelsior (Alno-Padion, Alnion incanae, Salicion albae)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0A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0A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0A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0B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Pești:</w:t>
            </w:r>
          </w:p>
          <w:p w:rsidR="00000000" w:rsidDel="00000000" w:rsidP="00000000" w:rsidRDefault="00000000" w:rsidRPr="00000000" w14:paraId="000000B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5264 Barbus carpathicus</w:t>
            </w:r>
          </w:p>
          <w:p w:rsidR="00000000" w:rsidDel="00000000" w:rsidP="00000000" w:rsidRDefault="00000000" w:rsidRPr="00000000" w14:paraId="000000B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1163 Cottus gobio</w:t>
            </w:r>
          </w:p>
          <w:p w:rsidR="00000000" w:rsidDel="00000000" w:rsidP="00000000" w:rsidRDefault="00000000" w:rsidRPr="00000000" w14:paraId="000000B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1093* Austropotamobius torrentium</w:t>
            </w:r>
          </w:p>
          <w:p w:rsidR="00000000" w:rsidDel="00000000" w:rsidP="00000000" w:rsidRDefault="00000000" w:rsidRPr="00000000" w14:paraId="000000B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0B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0B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A236 Dryocopus martius</w:t>
            </w:r>
          </w:p>
          <w:p w:rsidR="00000000" w:rsidDel="00000000" w:rsidP="00000000" w:rsidRDefault="00000000" w:rsidRPr="00000000" w14:paraId="000000B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A270 Luscinia luscinia </w:t>
            </w:r>
          </w:p>
          <w:p w:rsidR="00000000" w:rsidDel="00000000" w:rsidP="00000000" w:rsidRDefault="00000000" w:rsidRPr="00000000" w14:paraId="000000B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B">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0BC">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0BD">
            <w:pPr>
              <w:jc w:val="both"/>
              <w:rPr/>
            </w:pPr>
            <w:r>
              <w:rPr>
                <w:sz w:val="22"/>
                <w:szCs w:val="22"/>
                <w:rtl w:val="0"/>
              </w:rPr>
              <w:t xml:space="preserve">Desemnarea ca ZPB se fundamentează pe criteriul stabilit de metodologie pentru rezervații naturale, precum și pe valoarea conservativă ridicată a ecosistemelor forestiere prezente.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B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B07 Alte activităţi silvice - tăieri ilegale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C1">
            <w:pPr>
              <w:spacing w:after="0" w:line="240" w:lineRule="auto"/>
              <w:jc w:val="both"/>
              <w:rPr>
                <w:sz w:val="22"/>
                <w:szCs w:val="22"/>
              </w:rPr>
            </w:pPr>
            <w:r>
              <w:rPr>
                <w:b w:val="1"/>
                <w:bCs w:val="1"/>
                <w:sz w:val="22"/>
                <w:szCs w:val="22"/>
                <w:rtl w:val="0"/>
              </w:rPr>
              <w:t xml:space="preserve">Obiective și măsuri în regim de non-intervenție pentru habitatele forestiere seculare</w:t>
            </w:r>
            <w:r>
              <w:rPr>
                <w:rtl w:val="0"/>
              </w:rPr>
            </w:r>
          </w:p>
          <w:p w:rsidR="00000000" w:rsidDel="00000000" w:rsidP="00000000" w:rsidRDefault="00000000" w:rsidRPr="00000000" w14:paraId="000000C2">
            <w:pPr>
              <w:spacing w:after="0" w:line="240" w:lineRule="auto"/>
              <w:jc w:val="both"/>
              <w:rPr>
                <w:sz w:val="22"/>
                <w:szCs w:val="22"/>
              </w:rPr>
            </w:pPr>
            <w:r>
              <w:rPr>
                <w:b w:val="1"/>
                <w:bCs w:val="1"/>
                <w:sz w:val="22"/>
                <w:szCs w:val="22"/>
                <w:rtl w:val="0"/>
              </w:rPr>
              <w:t xml:space="preserve">Obiectiv general de conservare</w:t>
            </w:r>
            <w:r>
              <w:rPr>
                <w:rtl w:val="0"/>
              </w:rPr>
            </w:r>
          </w:p>
          <w:p w:rsidR="00000000" w:rsidDel="00000000" w:rsidP="00000000" w:rsidRDefault="00000000" w:rsidRPr="00000000" w14:paraId="000000C3">
            <w:pPr>
              <w:spacing w:after="0" w:line="240" w:lineRule="auto"/>
              <w:jc w:val="both"/>
              <w:rPr>
                <w:sz w:val="22"/>
                <w:szCs w:val="22"/>
              </w:rPr>
            </w:pPr>
            <w:r>
              <w:rPr>
                <w:sz w:val="22"/>
                <w:szCs w:val="22"/>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0C4">
            <w:pPr>
              <w:spacing w:after="0" w:line="240" w:lineRule="auto"/>
              <w:jc w:val="both"/>
              <w:rPr>
                <w:sz w:val="22"/>
                <w:szCs w:val="22"/>
              </w:rPr>
            </w:pPr>
            <w:r>
              <w:rPr>
                <w:b w:val="1"/>
                <w:bCs w:val="1"/>
                <w:sz w:val="22"/>
                <w:szCs w:val="22"/>
                <w:rtl w:val="0"/>
              </w:rPr>
              <w:t xml:space="preserve">Obiective specifice:</w:t>
            </w:r>
            <w:r>
              <w:rPr>
                <w:rtl w:val="0"/>
              </w:rPr>
            </w:r>
          </w:p>
          <w:p w:rsidR="00000000" w:rsidDel="00000000" w:rsidP="00000000" w:rsidRDefault="00000000" w:rsidRPr="00000000" w14:paraId="000000C5">
            <w:pPr>
              <w:spacing w:after="0" w:line="240" w:lineRule="auto"/>
              <w:jc w:val="both"/>
              <w:rPr>
                <w:sz w:val="22"/>
                <w:szCs w:val="22"/>
              </w:rPr>
            </w:pPr>
            <w:r>
              <w:rPr>
                <w:sz w:val="22"/>
                <w:szCs w:val="22"/>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0C6">
            <w:pPr>
              <w:spacing w:after="0" w:line="240" w:lineRule="auto"/>
              <w:jc w:val="both"/>
              <w:rPr>
                <w:sz w:val="22"/>
                <w:szCs w:val="22"/>
              </w:rPr>
            </w:pPr>
            <w:r>
              <w:rPr>
                <w:sz w:val="22"/>
                <w:szCs w:val="22"/>
                <w:rtl w:val="0"/>
              </w:rPr>
              <w:t xml:space="preserve">2. Menținerea elementelor-cheie pentru biodiversitate (arbori foarte bătrâni, arbori-habitat, lemn mort, microhabitate).</w:t>
            </w:r>
          </w:p>
          <w:p w:rsidR="00000000" w:rsidDel="00000000" w:rsidP="00000000" w:rsidRDefault="00000000" w:rsidRPr="00000000" w14:paraId="000000C7">
            <w:pPr>
              <w:spacing w:after="0" w:line="240" w:lineRule="auto"/>
              <w:jc w:val="both"/>
              <w:rPr>
                <w:sz w:val="22"/>
                <w:szCs w:val="22"/>
              </w:rPr>
            </w:pPr>
            <w:r>
              <w:rPr>
                <w:sz w:val="22"/>
                <w:szCs w:val="22"/>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0C8">
            <w:pPr>
              <w:spacing w:after="0" w:line="240" w:lineRule="auto"/>
              <w:jc w:val="both"/>
              <w:rPr>
                <w:sz w:val="22"/>
                <w:szCs w:val="22"/>
              </w:rPr>
            </w:pPr>
            <w:r>
              <w:rPr>
                <w:sz w:val="22"/>
                <w:szCs w:val="22"/>
                <w:rtl w:val="0"/>
              </w:rPr>
              <w:t xml:space="preserve">4. Limitarea deranjului produs de activitățile umane — acces motorizat, turism necontrolat și recoltări neautorizate.</w:t>
            </w:r>
          </w:p>
          <w:p w:rsidR="00000000" w:rsidDel="00000000" w:rsidP="00000000" w:rsidRDefault="00000000" w:rsidRPr="00000000" w14:paraId="000000C9">
            <w:pPr>
              <w:spacing w:after="0" w:line="240" w:lineRule="auto"/>
              <w:jc w:val="both"/>
              <w:rPr>
                <w:sz w:val="22"/>
                <w:szCs w:val="22"/>
              </w:rPr>
            </w:pPr>
            <w:r>
              <w:rPr>
                <w:sz w:val="22"/>
                <w:szCs w:val="22"/>
                <w:rtl w:val="0"/>
              </w:rPr>
              <w:t xml:space="preserve">5. Monitorizarea periodică a stării de conservare a habitatelor și speciilor din ZPB.</w:t>
            </w:r>
          </w:p>
          <w:p w:rsidR="00000000" w:rsidDel="00000000" w:rsidP="00000000" w:rsidRDefault="00000000" w:rsidRPr="00000000" w14:paraId="000000CA">
            <w:pPr>
              <w:spacing w:after="0" w:line="240" w:lineRule="auto"/>
              <w:jc w:val="both"/>
              <w:rPr>
                <w:sz w:val="22"/>
                <w:szCs w:val="22"/>
              </w:rPr>
            </w:pPr>
            <w:r>
              <w:rPr>
                <w:b w:val="1"/>
                <w:bCs w:val="1"/>
                <w:sz w:val="22"/>
                <w:szCs w:val="22"/>
                <w:rtl w:val="0"/>
              </w:rPr>
              <w:t xml:space="preserve">Măsuri de conservare:</w:t>
            </w:r>
            <w:r>
              <w:rPr>
                <w:rtl w:val="0"/>
              </w:rPr>
            </w:r>
          </w:p>
          <w:p w:rsidR="00000000" w:rsidDel="00000000" w:rsidP="00000000" w:rsidRDefault="00000000" w:rsidRPr="00000000" w14:paraId="000000CB">
            <w:pPr>
              <w:spacing w:after="0" w:line="240" w:lineRule="auto"/>
              <w:jc w:val="both"/>
              <w:rPr>
                <w:sz w:val="22"/>
                <w:szCs w:val="22"/>
              </w:rPr>
            </w:pPr>
            <w:r>
              <w:rPr>
                <w:sz w:val="22"/>
                <w:szCs w:val="22"/>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0CC">
            <w:pPr>
              <w:spacing w:after="0" w:line="240" w:lineRule="auto"/>
              <w:jc w:val="both"/>
              <w:rPr>
                <w:sz w:val="22"/>
                <w:szCs w:val="22"/>
              </w:rPr>
            </w:pPr>
            <w:r>
              <w:rPr>
                <w:sz w:val="22"/>
                <w:szCs w:val="22"/>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0CD">
            <w:pPr>
              <w:spacing w:after="0" w:line="240" w:lineRule="auto"/>
              <w:jc w:val="both"/>
              <w:rPr>
                <w:sz w:val="22"/>
                <w:szCs w:val="22"/>
              </w:rPr>
            </w:pPr>
            <w:r>
              <w:rPr>
                <w:sz w:val="22"/>
                <w:szCs w:val="22"/>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0CE">
            <w:pPr>
              <w:spacing w:after="0" w:line="240" w:lineRule="auto"/>
              <w:jc w:val="both"/>
              <w:rPr>
                <w:sz w:val="22"/>
                <w:szCs w:val="22"/>
              </w:rPr>
            </w:pPr>
            <w:r>
              <w:rPr>
                <w:sz w:val="22"/>
                <w:szCs w:val="22"/>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0CF">
            <w:pPr>
              <w:spacing w:after="0" w:line="240" w:lineRule="auto"/>
              <w:jc w:val="both"/>
              <w:rPr>
                <w:sz w:val="22"/>
                <w:szCs w:val="22"/>
              </w:rPr>
            </w:pPr>
            <w:r>
              <w:rPr>
                <w:sz w:val="22"/>
                <w:szCs w:val="22"/>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0D0">
            <w:pPr>
              <w:spacing w:line="240" w:lineRule="auto"/>
              <w:jc w:val="both"/>
              <w:rPr>
                <w:b w:val="1"/>
                <w:bCs w:val="1"/>
                <w:sz w:val="22"/>
                <w:szCs w:val="22"/>
              </w:rPr>
            </w:pPr>
            <w:r>
              <w:rPr>
                <w:b w:val="1"/>
                <w:bCs w:val="1"/>
                <w:sz w:val="22"/>
                <w:szCs w:val="22"/>
                <w:rtl w:val="0"/>
              </w:rPr>
              <w:t xml:space="preserve">Obiective și măsuri în regim de management activ pentru habitatele forestiere</w:t>
            </w:r>
          </w:p>
          <w:p w:rsidR="00000000" w:rsidDel="00000000" w:rsidP="00000000" w:rsidRDefault="00000000" w:rsidRPr="00000000" w14:paraId="000000D1">
            <w:pPr>
              <w:spacing w:line="240" w:lineRule="auto"/>
              <w:jc w:val="both"/>
              <w:rPr>
                <w:b w:val="1"/>
                <w:bCs w:val="1"/>
                <w:sz w:val="22"/>
                <w:szCs w:val="22"/>
              </w:rPr>
            </w:pPr>
            <w:r>
              <w:rPr>
                <w:b w:val="1"/>
                <w:bCs w:val="1"/>
                <w:sz w:val="22"/>
                <w:szCs w:val="22"/>
                <w:rtl w:val="0"/>
              </w:rPr>
              <w:t xml:space="preserve">Obiectiv general de conservare</w:t>
            </w:r>
          </w:p>
          <w:p w:rsidR="00000000" w:rsidDel="00000000" w:rsidP="00000000" w:rsidRDefault="00000000" w:rsidRPr="00000000" w14:paraId="000000D2">
            <w:pPr>
              <w:spacing w:line="240" w:lineRule="auto"/>
              <w:jc w:val="both"/>
              <w:rPr>
                <w:sz w:val="22"/>
                <w:szCs w:val="22"/>
              </w:rPr>
            </w:pPr>
            <w:r>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D3">
            <w:pPr>
              <w:spacing w:line="240" w:lineRule="auto"/>
              <w:jc w:val="both"/>
              <w:rPr>
                <w:b w:val="1"/>
                <w:bCs w:val="1"/>
                <w:sz w:val="22"/>
                <w:szCs w:val="22"/>
              </w:rPr>
            </w:pPr>
            <w:r>
              <w:rPr>
                <w:b w:val="1"/>
                <w:bCs w:val="1"/>
                <w:sz w:val="22"/>
                <w:szCs w:val="22"/>
                <w:rtl w:val="0"/>
              </w:rPr>
              <w:t xml:space="preserve">Obiective specifice:</w:t>
            </w:r>
          </w:p>
          <w:p w:rsidR="00000000" w:rsidDel="00000000" w:rsidP="00000000" w:rsidRDefault="00000000" w:rsidRPr="00000000" w14:paraId="000000D4">
            <w:pPr>
              <w:spacing w:line="240" w:lineRule="auto"/>
              <w:jc w:val="both"/>
              <w:rPr>
                <w:sz w:val="22"/>
                <w:szCs w:val="22"/>
              </w:rPr>
            </w:pPr>
            <w:r>
              <w:rPr>
                <w:sz w:val="22"/>
                <w:szCs w:val="22"/>
                <w:rtl w:val="0"/>
              </w:rPr>
              <w:t xml:space="preserve">1. Conservarea și ameliorarea biodiversității arboretelor (structură, compoziție, microhabitate).</w:t>
            </w:r>
          </w:p>
          <w:p w:rsidR="00000000" w:rsidDel="00000000" w:rsidP="00000000" w:rsidRDefault="00000000" w:rsidRPr="00000000" w14:paraId="000000D5">
            <w:pPr>
              <w:spacing w:line="240" w:lineRule="auto"/>
              <w:jc w:val="both"/>
              <w:rPr>
                <w:sz w:val="22"/>
                <w:szCs w:val="22"/>
              </w:rPr>
            </w:pPr>
            <w:r>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D6">
            <w:pPr>
              <w:spacing w:line="240" w:lineRule="auto"/>
              <w:jc w:val="both"/>
              <w:rPr>
                <w:sz w:val="22"/>
                <w:szCs w:val="22"/>
              </w:rPr>
            </w:pPr>
            <w:r>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D7">
            <w:pPr>
              <w:spacing w:line="240" w:lineRule="auto"/>
              <w:jc w:val="both"/>
              <w:rPr>
                <w:sz w:val="22"/>
                <w:szCs w:val="22"/>
              </w:rPr>
            </w:pPr>
            <w:r>
              <w:rPr>
                <w:sz w:val="22"/>
                <w:szCs w:val="22"/>
                <w:rtl w:val="0"/>
              </w:rPr>
              <w:t xml:space="preserve">4. Menținerea regenerării naturale și a continuității habitatelor forestiere.</w:t>
            </w:r>
          </w:p>
          <w:p w:rsidR="00000000" w:rsidDel="00000000" w:rsidP="00000000" w:rsidRDefault="00000000" w:rsidRPr="00000000" w14:paraId="000000D8">
            <w:pPr>
              <w:spacing w:line="240" w:lineRule="auto"/>
              <w:jc w:val="both"/>
              <w:rPr>
                <w:sz w:val="22"/>
                <w:szCs w:val="22"/>
              </w:rPr>
            </w:pPr>
            <w:r>
              <w:rPr>
                <w:sz w:val="22"/>
                <w:szCs w:val="22"/>
                <w:rtl w:val="0"/>
              </w:rPr>
              <w:t xml:space="preserve">5. Reducerea fragmentării habitatelor și limitarea presiunilor antropice.</w:t>
            </w:r>
          </w:p>
          <w:p w:rsidR="00000000" w:rsidDel="00000000" w:rsidP="00000000" w:rsidRDefault="00000000" w:rsidRPr="00000000" w14:paraId="000000D9">
            <w:pPr>
              <w:spacing w:line="240" w:lineRule="auto"/>
              <w:jc w:val="both"/>
              <w:rPr>
                <w:sz w:val="22"/>
                <w:szCs w:val="22"/>
              </w:rPr>
            </w:pPr>
            <w:r>
              <w:rPr>
                <w:sz w:val="22"/>
                <w:szCs w:val="22"/>
                <w:rtl w:val="0"/>
              </w:rPr>
              <w:t xml:space="preserve">6. Monitorizarea stării de conservare și aplicarea managementului adaptativ.</w:t>
            </w:r>
          </w:p>
          <w:p w:rsidR="00000000" w:rsidDel="00000000" w:rsidP="00000000" w:rsidRDefault="00000000" w:rsidRPr="00000000" w14:paraId="000000DA">
            <w:pPr>
              <w:spacing w:line="240" w:lineRule="auto"/>
              <w:jc w:val="both"/>
              <w:rPr>
                <w:b w:val="1"/>
                <w:bCs w:val="1"/>
                <w:sz w:val="22"/>
                <w:szCs w:val="22"/>
              </w:rPr>
            </w:pPr>
            <w:r>
              <w:rPr>
                <w:b w:val="1"/>
                <w:bCs w:val="1"/>
                <w:sz w:val="22"/>
                <w:szCs w:val="22"/>
                <w:rtl w:val="0"/>
              </w:rPr>
              <w:t xml:space="preserve">Măsuri de conservare:</w:t>
            </w:r>
          </w:p>
          <w:p w:rsidR="00000000" w:rsidDel="00000000" w:rsidP="00000000" w:rsidRDefault="00000000" w:rsidRPr="00000000" w14:paraId="000000DB">
            <w:pPr>
              <w:spacing w:line="240" w:lineRule="auto"/>
              <w:jc w:val="both"/>
              <w:rPr>
                <w:sz w:val="22"/>
                <w:szCs w:val="22"/>
              </w:rPr>
            </w:pPr>
            <w:r>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DC">
            <w:pPr>
              <w:spacing w:line="240" w:lineRule="auto"/>
              <w:jc w:val="both"/>
              <w:rPr>
                <w:sz w:val="22"/>
                <w:szCs w:val="22"/>
              </w:rPr>
            </w:pPr>
            <w:r>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DD">
            <w:pPr>
              <w:spacing w:line="240" w:lineRule="auto"/>
              <w:jc w:val="both"/>
              <w:rPr>
                <w:sz w:val="22"/>
                <w:szCs w:val="22"/>
              </w:rPr>
            </w:pPr>
            <w:r>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DE">
            <w:pPr>
              <w:spacing w:line="240" w:lineRule="auto"/>
              <w:jc w:val="both"/>
              <w:rPr>
                <w:sz w:val="22"/>
                <w:szCs w:val="22"/>
              </w:rPr>
            </w:pPr>
            <w:r>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DF">
            <w:pPr>
              <w:spacing w:line="240" w:lineRule="auto"/>
              <w:jc w:val="both"/>
              <w:rPr>
                <w:sz w:val="22"/>
                <w:szCs w:val="22"/>
              </w:rPr>
            </w:pPr>
            <w:r>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E0">
            <w:pPr>
              <w:spacing w:line="240" w:lineRule="auto"/>
              <w:jc w:val="both"/>
              <w:rPr>
                <w:sz w:val="22"/>
                <w:szCs w:val="22"/>
              </w:rPr>
            </w:pPr>
            <w:r>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E1">
            <w:pPr>
              <w:spacing w:line="240" w:lineRule="auto"/>
              <w:jc w:val="both"/>
              <w:rPr>
                <w:sz w:val="22"/>
                <w:szCs w:val="22"/>
              </w:rPr>
            </w:pPr>
            <w:r>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E2">
            <w:pPr>
              <w:spacing w:line="240" w:lineRule="auto"/>
              <w:jc w:val="both"/>
              <w:rPr>
                <w:sz w:val="22"/>
                <w:szCs w:val="22"/>
              </w:rPr>
            </w:pPr>
            <w:r>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E3">
            <w:pPr>
              <w:spacing w:line="240" w:lineRule="auto"/>
              <w:jc w:val="both"/>
              <w:rPr>
                <w:sz w:val="22"/>
                <w:szCs w:val="22"/>
              </w:rPr>
            </w:pPr>
            <w:r>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E4">
            <w:pPr>
              <w:spacing w:line="240" w:lineRule="auto"/>
              <w:jc w:val="both"/>
              <w:rPr>
                <w:sz w:val="22"/>
                <w:szCs w:val="22"/>
              </w:rPr>
            </w:pPr>
            <w:r>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E5">
            <w:pPr>
              <w:spacing w:line="240" w:lineRule="auto"/>
              <w:jc w:val="both"/>
              <w:rPr>
                <w:sz w:val="22"/>
                <w:szCs w:val="22"/>
              </w:rPr>
            </w:pPr>
            <w:r>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E6">
            <w:pPr>
              <w:spacing w:line="240" w:lineRule="auto"/>
              <w:jc w:val="both"/>
              <w:rPr>
                <w:sz w:val="22"/>
                <w:szCs w:val="22"/>
              </w:rPr>
            </w:pPr>
            <w:r>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E7">
            <w:pPr>
              <w:spacing w:line="240" w:lineRule="auto"/>
              <w:jc w:val="both"/>
              <w:rPr>
                <w:sz w:val="22"/>
                <w:szCs w:val="22"/>
              </w:rPr>
            </w:pPr>
            <w:r>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E8">
            <w:pPr>
              <w:spacing w:line="240" w:lineRule="auto"/>
              <w:jc w:val="both"/>
              <w:rPr>
                <w:sz w:val="22"/>
                <w:szCs w:val="22"/>
              </w:rPr>
            </w:pPr>
            <w:r>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E9">
            <w:pPr>
              <w:spacing w:line="240" w:lineRule="auto"/>
              <w:jc w:val="both"/>
              <w:rPr>
                <w:sz w:val="22"/>
                <w:szCs w:val="22"/>
              </w:rPr>
            </w:pPr>
            <w:r>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EA">
            <w:pPr>
              <w:spacing w:line="240" w:lineRule="auto"/>
              <w:jc w:val="both"/>
              <w:rPr>
                <w:sz w:val="22"/>
                <w:szCs w:val="22"/>
              </w:rPr>
            </w:pPr>
            <w:r>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EB">
            <w:pPr>
              <w:spacing w:line="240" w:lineRule="auto"/>
              <w:jc w:val="both"/>
              <w:rPr/>
            </w:pPr>
            <w:r>
              <w:rPr>
                <w:sz w:val="22"/>
                <w:szCs w:val="22"/>
                <w:rtl w:val="0"/>
              </w:rPr>
              <w:t xml:space="preserve">17. Se monitorizează periodic structura arboretelor, regenerarea naturală, speciile indicator și presiunile antropice, iar măsurile de conservare se adaptează în funcție de rezultatele monitorizării.</w:t>
            </w:r>
            <w:r>
              <w:rPr>
                <w:rtl w:val="0"/>
              </w:rPr>
            </w:r>
          </w:p>
          <w:p w:rsidR="00000000" w:rsidDel="00000000" w:rsidP="00000000" w:rsidRDefault="00000000" w:rsidRPr="00000000" w14:paraId="000000EB">
            <w:pPr>
              <w:spacing w:line="240" w:lineRule="auto"/>
              <w:jc w:val="both"/>
              <w:rPr/>
            </w:pPr>
            <w:r>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 </w:t>
            </w:r>
          </w:p>
        </w:tc>
      </w:tr>
    </w:tbl>
    <w:p w:rsidR="00000000" w:rsidDel="00000000" w:rsidP="00000000" w:rsidRDefault="00000000" w:rsidRPr="00000000" w14:paraId="000000E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 Zona Prioritară pentru Biodiversitate nr. 3</w:t>
      </w:r>
    </w:p>
    <w:p w:rsidR="00000000" w:rsidDel="00000000" w:rsidP="00000000" w:rsidRDefault="00000000" w:rsidRPr="00000000" w14:paraId="000000EF">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3.2.3.1. Cod Zona Prioritară pentru Biodiversitate nr. 3</w:t>
      </w:r>
    </w:p>
    <w:p w:rsidR="00000000" w:rsidDel="00000000" w:rsidP="00000000" w:rsidRDefault="00000000" w:rsidRPr="00000000" w14:paraId="000000F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ZPB3</w:t>
      </w:r>
    </w:p>
    <w:p w:rsidR="00000000" w:rsidDel="00000000" w:rsidP="00000000" w:rsidRDefault="00000000" w:rsidRPr="00000000" w14:paraId="000000F1">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3.2.3.2.  Detalii privind Zona Prioritară pentru Biodiversitate nr. 3</w:t>
      </w:r>
    </w:p>
    <w:p w:rsidR="00000000" w:rsidDel="00000000" w:rsidP="00000000" w:rsidRDefault="00000000" w:rsidRPr="00000000" w14:paraId="000000F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0F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3,72</w:t>
      </w:r>
    </w:p>
    <w:p w:rsidR="00000000" w:rsidDel="00000000" w:rsidP="00000000" w:rsidRDefault="00000000" w:rsidRPr="00000000" w14:paraId="000000F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0F5">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F6">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0F7">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F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0"/>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9">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A">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91V0 Păduri dacice de fag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Symphyto-Fagion</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F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91E0* Păduri aluviale cu Alnus glutinosa și Fraxinus excelsior (Alno-Padion, Alnion incanae, Salicion albae)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F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0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0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1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1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10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0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0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10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10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0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10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0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A217 Glaucidium passerinum</w:t>
            </w:r>
          </w:p>
          <w:p w:rsidR="00000000" w:rsidDel="00000000" w:rsidP="00000000" w:rsidRDefault="00000000" w:rsidRPr="00000000" w14:paraId="0000010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 </w:t>
            </w:r>
          </w:p>
          <w:p w:rsidR="00000000" w:rsidDel="00000000" w:rsidP="00000000" w:rsidRDefault="00000000" w:rsidRPr="00000000" w14:paraId="000001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 </w:t>
            </w:r>
          </w:p>
          <w:p w:rsidR="00000000" w:rsidDel="00000000" w:rsidP="00000000" w:rsidRDefault="00000000" w:rsidRPr="00000000" w14:paraId="0000011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2">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13">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1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B07 Alte activităţi silvice - tăieri ilegale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non-intervenție pentru habitatele forestiere seculare</w:t>
            </w:r>
            <w:r>
              <w:rPr>
                <w:rtl w:val="0"/>
              </w:rPr>
            </w:r>
          </w:p>
          <w:p w:rsidR="00000000" w:rsidDel="00000000" w:rsidP="00000000" w:rsidRDefault="00000000" w:rsidRPr="00000000" w14:paraId="000001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Conservarea funcționării ecologice naturale a pădurii prin lăsarea proceselor naturale să evolueze liber și limitarea strictă a presiunilor antropice.</w:t>
            </w:r>
          </w:p>
          <w:p w:rsidR="00000000" w:rsidDel="00000000" w:rsidP="00000000" w:rsidRDefault="00000000" w:rsidRPr="00000000" w14:paraId="000001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funcționării ecologice naturale a pădurii: regenerare spontană, succesiune nealterată, mortalitate naturală a arborilor și perturbări naturale.</w:t>
            </w:r>
          </w:p>
          <w:p w:rsidR="00000000" w:rsidDel="00000000" w:rsidP="00000000" w:rsidRDefault="00000000" w:rsidRPr="00000000" w14:paraId="000001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Menținerea elementelor-cheie pentru biodiversitate (arbori foarte bătrâni, arbori-habitat, lemn mort, microhabitate).</w:t>
            </w:r>
          </w:p>
          <w:p w:rsidR="00000000" w:rsidDel="00000000" w:rsidP="00000000" w:rsidRDefault="00000000" w:rsidRPr="00000000" w14:paraId="000001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Asigurarea continuității habitatelor și evitarea fragmentării lor prin infrastructură sau prin accesul necontrolat al activităților umane.</w:t>
            </w:r>
          </w:p>
          <w:p w:rsidR="00000000" w:rsidDel="00000000" w:rsidP="00000000" w:rsidRDefault="00000000" w:rsidRPr="00000000" w14:paraId="000001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Limitarea deranjului produs de activitățile umane — acces motorizat, turism necontrolat și recoltări neautorizate.</w:t>
            </w:r>
          </w:p>
          <w:p w:rsidR="00000000" w:rsidDel="00000000" w:rsidP="00000000" w:rsidRDefault="00000000" w:rsidRPr="00000000" w14:paraId="000001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Monitorizarea periodică a stării de conservare a habitatelor și speciilor din ZPB.</w:t>
            </w:r>
          </w:p>
          <w:p w:rsidR="00000000" w:rsidDel="00000000" w:rsidP="00000000" w:rsidRDefault="00000000" w:rsidRPr="00000000" w14:paraId="000001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Fără intervenții asupra structurii pădurii: nu se aplică lucrări de exploatare sau lucrări care modifică structura/compoziția arboretului; evoluția este lăsată pe baza proceselor naturale.</w:t>
            </w:r>
          </w:p>
          <w:p w:rsidR="00000000" w:rsidDel="00000000" w:rsidP="00000000" w:rsidRDefault="00000000" w:rsidRPr="00000000" w14:paraId="000001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Păstrarea lemnului mort și a arborilor-habitat: lemnul mort (în picioare și la sol) se păstrează ca element natural al ecosistemului, iar arborii-habitat nu se extrag; îndepărtări sunt permise doar punctual, strict pentru siguranța publică (de exemplu pe trasee turistice), dar materialul se relocă, nu se scoate din ZPB.</w:t>
            </w:r>
          </w:p>
          <w:p w:rsidR="00000000" w:rsidDel="00000000" w:rsidP="00000000" w:rsidRDefault="00000000" w:rsidRPr="00000000" w14:paraId="0000012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Gestionarea accesului și a deranjului: accesul motorizat se interzice sau se limitează strict; vizitarea se realizează exclusiv pe trasee stabilite; pentru perioadele sensibile (cuibărit, reproducere, hibernare) pot fi instituite restricții sezoniere, acolo unde se justifică.</w:t>
            </w:r>
          </w:p>
          <w:p w:rsidR="00000000" w:rsidDel="00000000" w:rsidP="00000000" w:rsidRDefault="00000000" w:rsidRPr="00000000" w14:paraId="0000012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Monitorizare neintruzivă și supraveghere periodică: se evaluează regulat structura (lemn mort, arbori bătrâni, microhabitate), habitatele speciilor indicator și presiunile (tăieri ilegale, incendii, specii invazive, degradări cauzate de accesul necontrolat).</w:t>
            </w:r>
          </w:p>
          <w:p w:rsidR="00000000" w:rsidDel="00000000" w:rsidP="00000000" w:rsidRDefault="00000000" w:rsidRPr="00000000" w14:paraId="0000012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Activități de cercetare și educație cu impact redus: cercetarea științifică și educația sunt admise doar dacă nu produc perturbări semnificative, fiind impuse reguli de acces și metode cu impact minim.</w:t>
            </w:r>
          </w:p>
          <w:p w:rsidR="00000000" w:rsidDel="00000000" w:rsidP="00000000" w:rsidRDefault="00000000" w:rsidRPr="00000000" w14:paraId="0000012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1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2B">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 Zona Prioritară pentru Biodiversitate nr. 4</w:t>
      </w:r>
    </w:p>
    <w:p w:rsidR="00000000" w:rsidDel="00000000" w:rsidP="00000000" w:rsidRDefault="00000000" w:rsidRPr="00000000" w14:paraId="0000012C">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3.2.4.1. Cod Zona Prioritară pentru Biodiversitate nr. 4</w:t>
      </w:r>
    </w:p>
    <w:p w:rsidR="00000000" w:rsidDel="00000000" w:rsidP="00000000" w:rsidRDefault="00000000" w:rsidRPr="00000000" w14:paraId="0000012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ZPB4</w:t>
      </w:r>
    </w:p>
    <w:p w:rsidR="00000000" w:rsidDel="00000000" w:rsidP="00000000" w:rsidRDefault="00000000" w:rsidRPr="00000000" w14:paraId="0000012E">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3.2.4.2.  Detalii privind Zona Prioritară pentru Biodiversitate nr. 4</w:t>
      </w:r>
    </w:p>
    <w:p w:rsidR="00000000" w:rsidDel="00000000" w:rsidP="00000000" w:rsidRDefault="00000000" w:rsidRPr="00000000" w14:paraId="000001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Suprafața totală a ZPB (ha)</w:t>
      </w:r>
    </w:p>
    <w:p w:rsidR="00000000" w:rsidDel="00000000" w:rsidP="00000000" w:rsidRDefault="00000000" w:rsidRPr="00000000" w14:paraId="0000013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230,42</w:t>
      </w:r>
    </w:p>
    <w:p w:rsidR="00000000" w:rsidDel="00000000" w:rsidP="00000000" w:rsidRDefault="00000000" w:rsidRPr="00000000" w14:paraId="0000013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Documente relevante în raport cu ZPB</w:t>
      </w:r>
    </w:p>
    <w:p w:rsidR="00000000" w:rsidDel="00000000" w:rsidP="00000000" w:rsidRDefault="00000000" w:rsidRPr="00000000" w14:paraId="00000132">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133">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1122/2016 privind aprobarea Planului de management al sitului Natura 2000 ROSCI0262 Valea Iadei;</w:t>
      </w:r>
    </w:p>
    <w:p w:rsidR="00000000" w:rsidDel="00000000" w:rsidP="00000000" w:rsidRDefault="00000000" w:rsidRPr="00000000" w14:paraId="00000134">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1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16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Informația ecologică</w:t>
      </w:r>
    </w:p>
    <w:tbl>
      <w:tblPr>
        <w:tblStyle w:val="Table11"/>
        <w:tblW w:w="8964.0" w:type="dxa"/>
        <w:jc w:val="left"/>
        <w:tblInd w:w="-97.00000000000001" w:type="dxa"/>
        <w:tblLayout w:type="fixed"/>
        <w:tblLook w:val="0400"/>
      </w:tblPr>
      <w:tblGrid>
        <w:gridCol w:w="4334"/>
        <w:gridCol w:w="4630"/>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6">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Informația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7">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Descriere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Habitate de interes comunitar sau de interes național</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Habitate de păduri temperate europene:</w:t>
            </w:r>
          </w:p>
          <w:p w:rsidR="00000000" w:rsidDel="00000000" w:rsidP="00000000" w:rsidRDefault="00000000" w:rsidRPr="00000000" w14:paraId="0000013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9180* Păduri din Tilio-Acerion pe versanți abrupți, grohotișuri și ravene</w:t>
            </w:r>
          </w:p>
          <w:p w:rsidR="00000000" w:rsidDel="00000000" w:rsidP="00000000" w:rsidRDefault="00000000" w:rsidRPr="00000000" w14:paraId="0000013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both"/>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91V0 Păduri dacice de fag (</w:t>
            </w:r>
            <w:r>
              <w:rPr>
                <w:rFonts w:ascii="Arial" w:cs="Arial" w:eastAsia="Arial" w:hAnsi="Arial"/>
                <w:b w:val="0"/>
                <w:bCs w:val="0"/>
                <w:i w:val="1"/>
                <w:iCs w:val="1"/>
                <w:smallCaps w:val="0"/>
                <w:strike w:val="0"/>
                <w:color w:val="000000"/>
                <w:sz w:val="22"/>
                <w:szCs w:val="22"/>
                <w:u w:val="none"/>
                <w:shd w:fill="auto" w:val="clear"/>
                <w:vertAlign w:val="baseline"/>
                <w:rtl w:val="0"/>
              </w:rPr>
              <w:t xml:space="preserve">Symphyto-Fagion</w:t>
            </w:r>
            <w:r>
              <w:rPr>
                <w:rFonts w:ascii="Arial" w:cs="Arial" w:eastAsia="Arial" w:hAnsi="Arial"/>
                <w:b w:val="0"/>
                <w:bCs w:val="0"/>
                <w:i w:val="0"/>
                <w:iCs w:val="0"/>
                <w:smallCaps w:val="0"/>
                <w:strike w:val="0"/>
                <w:color w:val="000000"/>
                <w:sz w:val="22"/>
                <w:szCs w:val="22"/>
                <w:u w:val="none"/>
                <w:shd w:fill="auto" w:val="clear"/>
                <w:vertAlign w:val="baseline"/>
                <w:rtl w:val="0"/>
              </w:rPr>
              <w:t xml:space="preserv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Specii</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3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Mamifere:</w:t>
            </w:r>
          </w:p>
          <w:p w:rsidR="00000000" w:rsidDel="00000000" w:rsidP="00000000" w:rsidRDefault="00000000" w:rsidRPr="00000000" w14:paraId="0000013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1352* Canis lupus </w:t>
            </w:r>
          </w:p>
          <w:p w:rsidR="00000000" w:rsidDel="00000000" w:rsidP="00000000" w:rsidRDefault="00000000" w:rsidRPr="00000000" w14:paraId="000001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1354* Ursus arctos </w:t>
            </w:r>
          </w:p>
          <w:p w:rsidR="00000000" w:rsidDel="00000000" w:rsidP="00000000" w:rsidRDefault="00000000" w:rsidRPr="00000000" w14:paraId="0000014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1361 Lynx lynx </w:t>
            </w:r>
          </w:p>
          <w:p w:rsidR="00000000" w:rsidDel="00000000" w:rsidP="00000000" w:rsidRDefault="00000000" w:rsidRPr="00000000" w14:paraId="000001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1363 Felis silvestris</w:t>
            </w:r>
          </w:p>
          <w:p w:rsidR="00000000" w:rsidDel="00000000" w:rsidP="00000000" w:rsidRDefault="00000000" w:rsidRPr="00000000" w14:paraId="0000014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Amfibieni:</w:t>
            </w:r>
          </w:p>
          <w:p w:rsidR="00000000" w:rsidDel="00000000" w:rsidP="00000000" w:rsidRDefault="00000000" w:rsidRPr="00000000" w14:paraId="000001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1193 Bombina variegata</w:t>
            </w:r>
          </w:p>
          <w:p w:rsidR="00000000" w:rsidDel="00000000" w:rsidP="00000000" w:rsidRDefault="00000000" w:rsidRPr="00000000" w14:paraId="000001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4008 Triturus vulgaris ampelensis</w:t>
            </w:r>
          </w:p>
          <w:p w:rsidR="00000000" w:rsidDel="00000000" w:rsidP="00000000" w:rsidRDefault="00000000" w:rsidRPr="00000000" w14:paraId="0000014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Plante:</w:t>
            </w:r>
          </w:p>
          <w:p w:rsidR="00000000" w:rsidDel="00000000" w:rsidP="00000000" w:rsidRDefault="00000000" w:rsidRPr="00000000" w14:paraId="0000014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2186 Syringa josikaea</w:t>
            </w:r>
          </w:p>
          <w:p w:rsidR="00000000" w:rsidDel="00000000" w:rsidP="00000000" w:rsidRDefault="00000000" w:rsidRPr="00000000" w14:paraId="0000014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Păsări:</w:t>
            </w:r>
          </w:p>
          <w:p w:rsidR="00000000" w:rsidDel="00000000" w:rsidP="00000000" w:rsidRDefault="00000000" w:rsidRPr="00000000" w14:paraId="000001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A215 Bubo bubo</w:t>
            </w:r>
          </w:p>
          <w:p w:rsidR="00000000" w:rsidDel="00000000" w:rsidP="00000000" w:rsidRDefault="00000000" w:rsidRPr="00000000" w14:paraId="000001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A104 Bonasa bonasia</w:t>
            </w:r>
          </w:p>
          <w:p w:rsidR="00000000" w:rsidDel="00000000" w:rsidP="00000000" w:rsidRDefault="00000000" w:rsidRPr="00000000" w14:paraId="000001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A239 Dendrocopos leucotos</w:t>
            </w:r>
          </w:p>
          <w:p w:rsidR="00000000" w:rsidDel="00000000" w:rsidP="00000000" w:rsidRDefault="00000000" w:rsidRPr="00000000" w14:paraId="000001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A320 Ficedula parva</w:t>
            </w:r>
          </w:p>
          <w:p w:rsidR="00000000" w:rsidDel="00000000" w:rsidP="00000000" w:rsidRDefault="00000000" w:rsidRPr="00000000" w14:paraId="000001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A217 Glaucidium passerinum</w:t>
            </w:r>
          </w:p>
          <w:p w:rsidR="00000000" w:rsidDel="00000000" w:rsidP="00000000" w:rsidRDefault="00000000" w:rsidRPr="00000000" w14:paraId="000001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A072 Pernis apivorus </w:t>
            </w:r>
          </w:p>
          <w:p w:rsidR="00000000" w:rsidDel="00000000" w:rsidP="00000000" w:rsidRDefault="00000000" w:rsidRPr="00000000" w14:paraId="000001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A234 Picus canus </w:t>
            </w:r>
          </w:p>
          <w:p w:rsidR="00000000" w:rsidDel="00000000" w:rsidP="00000000" w:rsidRDefault="00000000" w:rsidRPr="00000000" w14:paraId="000001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1"/>
                <w:iCs w:val="1"/>
                <w:smallCaps w:val="0"/>
                <w:strike w:val="0"/>
                <w:color w:val="000000"/>
                <w:sz w:val="22"/>
                <w:szCs w:val="22"/>
                <w:u w:val="none"/>
                <w:shd w:fill="auto" w:val="clear"/>
                <w:vertAlign w:val="baseline"/>
              </w:rPr>
            </w:pPr>
            <w:r>
              <w:rPr>
                <w:rFonts w:ascii="Arial" w:cs="Arial" w:eastAsia="Arial" w:hAnsi="Arial"/>
                <w:b w:val="0"/>
                <w:bCs w:val="0"/>
                <w:i w:val="1"/>
                <w:iCs w:val="1"/>
                <w:smallCaps w:val="0"/>
                <w:strike w:val="0"/>
                <w:color w:val="000000"/>
                <w:sz w:val="22"/>
                <w:szCs w:val="22"/>
                <w:u w:val="none"/>
                <w:shd w:fill="auto" w:val="clear"/>
                <w:vertAlign w:val="baseline"/>
                <w:rtl w:val="0"/>
              </w:rPr>
              <w:t xml:space="preserve">A220 Strix uralensis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1">
            <w:pPr>
              <w:jc w:val="both"/>
              <w:rPr/>
            </w:pPr>
            <w:r>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Pr>
                <w:rtl w:val="0"/>
              </w:rPr>
            </w:r>
          </w:p>
          <w:p w:rsidR="00000000" w:rsidDel="00000000" w:rsidP="00000000" w:rsidRDefault="00000000" w:rsidRPr="00000000" w14:paraId="00000152">
            <w:pPr>
              <w:jc w:val="both"/>
              <w:rPr/>
            </w:pPr>
            <w:r>
              <w:rPr>
                <w:sz w:val="22"/>
                <w:szCs w:val="22"/>
                <w:rtl w:val="0"/>
              </w:rPr>
              <w:t xml:space="preserve">Valoarea ecologică a zonei este susținută de existența unor condiții favorabile pentru numeroase specii de interes conservativ asociate pădurilor mature și ecosistemelor forestiere bine conservate.</w:t>
            </w:r>
            <w:r>
              <w:rPr>
                <w:rtl w:val="0"/>
              </w:rPr>
            </w:r>
          </w:p>
          <w:p w:rsidR="00000000" w:rsidDel="00000000" w:rsidP="00000000" w:rsidRDefault="00000000" w:rsidRPr="00000000" w14:paraId="00000153">
            <w:pPr>
              <w:jc w:val="both"/>
              <w:rPr/>
            </w:pPr>
            <w:r>
              <w:rPr>
                <w:sz w:val="22"/>
                <w:szCs w:val="22"/>
                <w:rtl w:val="0"/>
              </w:rPr>
              <w:t xml:space="preserve">Zona include habitate caracterizate prin condiții ecologice extreme și prin prezența unor comunități biologice adaptate substratului stâncos. Aceste ecosisteme contribuie la diversitatea peisajului și la conservarea unor specii specializate cu distribuție restrânsă.</w:t>
            </w:r>
            <w:r>
              <w:rPr>
                <w:rtl w:val="0"/>
              </w:rPr>
            </w:r>
          </w:p>
          <w:p w:rsidR="00000000" w:rsidDel="00000000" w:rsidP="00000000" w:rsidRDefault="00000000" w:rsidRPr="00000000" w14:paraId="00000154">
            <w:pPr>
              <w:jc w:val="both"/>
              <w:rPr/>
            </w:pPr>
            <w:r>
              <w:rPr>
                <w:sz w:val="22"/>
                <w:szCs w:val="22"/>
                <w:rtl w:val="0"/>
              </w:rPr>
              <w:t xml:space="preserve">Desemnarea are la bază valoarea ecologică ridicată a habitatelor și speciilor de interes conservativ asociate ecosistemelor forestiere.</w:t>
            </w: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B07 Alte activităţi silvice - tăieri ilegale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5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și măsuri în regim de management activ pentru habitatele forestiere </w:t>
            </w:r>
            <w:r>
              <w:rPr>
                <w:rtl w:val="0"/>
              </w:rPr>
            </w:r>
          </w:p>
          <w:p w:rsidR="00000000" w:rsidDel="00000000" w:rsidP="00000000" w:rsidRDefault="00000000" w:rsidRPr="00000000" w14:paraId="000001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 general de conservare</w:t>
            </w:r>
            <w:r>
              <w:rPr>
                <w:rtl w:val="0"/>
              </w:rPr>
            </w:r>
          </w:p>
          <w:p w:rsidR="00000000" w:rsidDel="00000000" w:rsidP="00000000" w:rsidRDefault="00000000" w:rsidRPr="00000000" w14:paraId="000001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1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Obiective specifice:</w:t>
            </w:r>
            <w:r>
              <w:rPr>
                <w:rtl w:val="0"/>
              </w:rPr>
            </w:r>
          </w:p>
          <w:p w:rsidR="00000000" w:rsidDel="00000000" w:rsidP="00000000" w:rsidRDefault="00000000" w:rsidRPr="00000000" w14:paraId="000001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Conservarea și ameliorarea biodiversității arboretelor (structură, compoziție, microhabitate).</w:t>
            </w:r>
          </w:p>
          <w:p w:rsidR="00000000" w:rsidDel="00000000" w:rsidP="00000000" w:rsidRDefault="00000000" w:rsidRPr="00000000" w14:paraId="0000015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Îmbunătățirea compoziției și structurii arboretelor către o configurație mai apropiată de naturalitate.</w:t>
            </w:r>
          </w:p>
          <w:p w:rsidR="00000000" w:rsidDel="00000000" w:rsidP="00000000" w:rsidRDefault="00000000" w:rsidRPr="00000000" w14:paraId="000001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Creșterea stabilității și rezistenței ecosistemelor forestiere la factori vătămători biotici și abiotici.</w:t>
            </w:r>
          </w:p>
          <w:p w:rsidR="00000000" w:rsidDel="00000000" w:rsidP="00000000" w:rsidRDefault="00000000" w:rsidRPr="00000000" w14:paraId="000001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Menținerea regenerării naturale și a continuității habitatelor forestiere.</w:t>
            </w:r>
          </w:p>
          <w:p w:rsidR="00000000" w:rsidDel="00000000" w:rsidP="00000000" w:rsidRDefault="00000000" w:rsidRPr="00000000" w14:paraId="0000016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Reducerea fragmentării habitatelor și limitarea presiunilor antropice.</w:t>
            </w:r>
          </w:p>
          <w:p w:rsidR="00000000" w:rsidDel="00000000" w:rsidP="00000000" w:rsidRDefault="00000000" w:rsidRPr="00000000" w14:paraId="0000016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Monitorizarea stării de conservare și aplicarea managementului adaptativ.</w:t>
            </w:r>
          </w:p>
          <w:p w:rsidR="00000000" w:rsidDel="00000000" w:rsidP="00000000" w:rsidRDefault="00000000" w:rsidRPr="00000000" w14:paraId="000001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Măsuri de conservare:</w:t>
            </w:r>
            <w:r>
              <w:rPr>
                <w:rtl w:val="0"/>
              </w:rPr>
            </w:r>
          </w:p>
          <w:p w:rsidR="00000000" w:rsidDel="00000000" w:rsidP="00000000" w:rsidRDefault="00000000" w:rsidRPr="00000000" w14:paraId="000001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16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1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1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16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1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6. Sunt permise lucrări de îngrijire a culturilor și semințișurilor până la realizarea stării de masiv, precum și lucrări de îngrijire și conducere a arboretelor din categoria degajărilor, depresajului și curățirilor, fără rărituri.</w:t>
            </w:r>
          </w:p>
          <w:p w:rsidR="00000000" w:rsidDel="00000000" w:rsidP="00000000" w:rsidRDefault="00000000" w:rsidRPr="00000000" w14:paraId="0000016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7.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1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8.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1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9.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16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10.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1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11.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16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12.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16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13. Intervențiile utilizează metode și tehnologii cu impact redus asupra solului și habitatelor forestiere și evită perioadele cu umiditate excesivă a solului.</w:t>
            </w:r>
          </w:p>
          <w:p w:rsidR="00000000" w:rsidDel="00000000" w:rsidP="00000000" w:rsidRDefault="00000000" w:rsidRPr="00000000" w14:paraId="0000017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14.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1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15. Se limitează realizarea de infrastructuri noi și extinderea infrastructurii existente care pot conduce la fragmentarea habitatelor forestiere.</w:t>
            </w:r>
          </w:p>
          <w:p w:rsidR="00000000" w:rsidDel="00000000" w:rsidP="00000000" w:rsidRDefault="00000000" w:rsidRPr="00000000" w14:paraId="0000017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16. Accesul motorizat se limitează strict la situațiile necesare pentru activitățile de conservare, monitorizare și intervențiile permise conform legislației.</w:t>
            </w:r>
          </w:p>
          <w:p w:rsidR="00000000" w:rsidDel="00000000" w:rsidP="00000000" w:rsidRDefault="00000000" w:rsidRPr="00000000" w14:paraId="0000017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17.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18.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17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1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17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Publică</w:t>
            </w:r>
          </w:p>
        </w:tc>
      </w:tr>
    </w:tbl>
    <w:p w:rsidR="00000000" w:rsidDel="00000000" w:rsidP="00000000" w:rsidRDefault="00000000" w:rsidRPr="00000000" w14:paraId="0000017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79">
      <w:pPr>
        <w:keepNext w:val="0"/>
        <w:keepLines w:val="0"/>
        <w:pageBreakBefore w:val="0"/>
        <w:widowControl w:val="1"/>
        <w:pBdr>
          <w:top w:space="0" w:sz="0" w:val="nil"/>
          <w:left w:space="0" w:sz="0" w:val="nil"/>
          <w:bottom w:space="0" w:sz="0" w:val="nil"/>
          <w:right w:space="0" w:sz="0" w:val="nil"/>
          <w:between w:space="0" w:sz="0" w:val="nil"/>
        </w:pBdr>
        <w:shd w:fill="auto" w:val="clear"/>
        <w:spacing w:after="80" w:before="24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3.3. Bibliografie</w:t>
      </w:r>
    </w:p>
    <w:p w:rsidR="00000000" w:rsidDel="00000000" w:rsidP="00000000" w:rsidRDefault="00000000" w:rsidRPr="00000000" w14:paraId="0000017A">
      <w:pPr>
        <w:keepNext w:val="0"/>
        <w:keepLines w:val="0"/>
        <w:pageBreakBefore w:val="0"/>
        <w:widowControl w:val="1"/>
        <w:pBdr>
          <w:top w:color="000000" w:space="0" w:sz="6" w:val="single"/>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Rațiu, O., Gergely, I., Diaconeasa, B., Lorinczi, F. (și colab.), 1982. Flora și unitățile fitosintaxonatice de pe Valea Iadului (jud. Bihor). Importanța economică și științifică.  caracterizarea lor ecologică. I. Contribuții Botanice, Cluj-Napoca.</w:t>
      </w:r>
    </w:p>
    <w:p w:rsidR="00000000" w:rsidDel="00000000" w:rsidP="00000000" w:rsidRDefault="00000000" w:rsidRPr="00000000" w14:paraId="0000017B">
      <w:pPr>
        <w:keepNext w:val="0"/>
        <w:keepLines w:val="0"/>
        <w:pageBreakBefore w:val="0"/>
        <w:widowControl w:val="1"/>
        <w:pBdr>
          <w:top w:space="0" w:sz="0" w:val="nil"/>
          <w:left w:color="000000" w:space="0" w:sz="6" w:val="single"/>
          <w:bottom w:space="0" w:sz="0" w:val="nil"/>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Szász Elisabeta, 1981, Micoflora populaţiei de Syringa josikaea Jacq. Din rezervaţia naturală Dealul Mare din Valea Iadului (Judeţul Bihor), St. Com. Ocr. Nat., Suceava, 5: 267-270</w:t>
      </w:r>
    </w:p>
    <w:p w:rsidR="00000000" w:rsidDel="00000000" w:rsidP="00000000" w:rsidRDefault="00000000" w:rsidRPr="00000000" w14:paraId="0000017C">
      <w:pPr>
        <w:keepNext w:val="0"/>
        <w:keepLines w:val="0"/>
        <w:pageBreakBefore w:val="0"/>
        <w:widowControl w:val="1"/>
        <w:pBdr>
          <w:top w:space="0" w:sz="0" w:val="nil"/>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Vlaicu, M., 2010. Aspects regarding the resistance to erosion of the rocks from Valea Iadului drainage basin. Analele Universității din Oradea – Seria Geografie, Tom XX, nr. 1/2010 (June), pp. 58-64.</w:t>
      </w:r>
    </w:p>
    <w:p w:rsidR="00000000" w:rsidDel="00000000" w:rsidP="00000000" w:rsidRDefault="00000000" w:rsidRPr="00000000" w14:paraId="0000017D">
      <w:pPr>
        <w:keepNext w:val="0"/>
        <w:keepLines w:val="0"/>
        <w:pageBreakBefore w:val="0"/>
        <w:widowControl w:val="1"/>
        <w:pBdr>
          <w:top w:space="0" w:sz="0" w:val="nil"/>
          <w:left w:space="0" w:sz="0" w:val="nil"/>
          <w:bottom w:space="0" w:sz="0" w:val="nil"/>
          <w:right w:space="0" w:sz="0" w:val="nil"/>
          <w:between w:space="0" w:sz="0" w:val="nil"/>
        </w:pBdr>
        <w:shd w:fill="auto" w:val="clear"/>
        <w:spacing w:after="120" w:before="48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4. Consultări publice cu privire la desemnarea Zonelor Prioritare pentru Biodiversitate</w:t>
      </w:r>
    </w:p>
    <w:p w:rsidR="00000000" w:rsidDel="00000000" w:rsidP="00000000" w:rsidRDefault="00000000" w:rsidRPr="00000000" w14:paraId="0000017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7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300"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Consultările publice  au fost realizate la: 19 septembrie 2024 – Oradea, jud. Bihor. Ulterior, în cadrul procesului de consultare extins la nivel național, au avut loc consultări suplimentare online, în data de 29 ianuarie 2026, urmată de consultări publice la Prefectura Bihor, cu participarea factorilor interesați relevanți din județul Bihor.</w:t>
      </w:r>
    </w:p>
    <w:p w:rsidR="00000000" w:rsidDel="00000000" w:rsidP="00000000" w:rsidRDefault="00000000" w:rsidRPr="00000000" w14:paraId="0000018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8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Fonts w:ascii="Arial" w:cs="Arial" w:eastAsia="Arial" w:hAnsi="Arial"/>
          <w:b w:val="1"/>
          <w:bCs w:val="1"/>
          <w:i w:val="0"/>
          <w:iCs w:val="0"/>
          <w:smallCaps w:val="0"/>
          <w:strike w:val="0"/>
          <w:color w:val="000000"/>
          <w:sz w:val="22"/>
          <w:szCs w:val="22"/>
          <w:u w:val="none"/>
          <w:shd w:fill="auto" w:val="clear"/>
          <w:vertAlign w:val="baseline"/>
          <w:rtl w:val="0"/>
        </w:rPr>
        <w:t xml:space="preserve">5. Harta Zonelor Prioritare pentru Biodiversitate</w:t>
      </w:r>
    </w:p>
    <w:p w:rsidR="00000000" w:rsidDel="00000000" w:rsidP="00000000" w:rsidRDefault="00000000" w:rsidRPr="00000000" w14:paraId="0000018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center"/>
        <w:rPr>
          <w:rFonts w:ascii="Arial" w:cs="Arial" w:eastAsia="Arial" w:hAnsi="Arial"/>
          <w:b w:val="1"/>
          <w:bCs w:val="1"/>
          <w:i w:val="0"/>
          <w:iCs w:val="0"/>
          <w:smallCaps w:val="0"/>
          <w:strike w:val="0"/>
          <w:color w:val="000000"/>
          <w:sz w:val="22"/>
          <w:szCs w:val="22"/>
          <w:u w:val="none"/>
          <w:shd w:fill="auto" w:val="clear"/>
          <w:vertAlign w:val="baseline"/>
        </w:rPr>
      </w:pPr>
      <w:r>
        <w:rPr>
          <w:rtl w:val="0"/>
        </w:rPr>
      </w:r>
    </w:p>
    <w:p w:rsidR="00000000" w:rsidDel="00000000" w:rsidP="00000000" w:rsidRDefault="00000000" w:rsidRPr="00000000" w14:paraId="0000018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Limitele Zonelor Prioritare pentru Biodiversitate sunt disponibile în format digital:</w:t>
      </w:r>
    </w:p>
    <w:p w:rsidR="00000000" w:rsidDel="00000000" w:rsidP="00000000" w:rsidRDefault="00000000" w:rsidRPr="00000000" w14:paraId="0000018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00"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Pr>
          <w:rFonts w:ascii="Arial" w:cs="Arial" w:eastAsia="Arial" w:hAnsi="Arial"/>
          <w:b w:val="0"/>
          <w:bCs w:val="0"/>
          <w:i w:val="0"/>
          <w:iCs w:val="0"/>
          <w:smallCaps w:val="0"/>
          <w:strike w:val="0"/>
          <w:color w:val="000000"/>
          <w:sz w:val="22"/>
          <w:szCs w:val="22"/>
          <w:u w:val="none"/>
          <w:shd w:fill="auto" w:val="clear"/>
          <w:vertAlign w:val="baseline"/>
          <w:rtl w:val="0"/>
        </w:rPr>
        <w:t xml:space="preserve">Link: </w:t>
      </w:r>
      <w:hyperlink r:id="rId7">
        <w:r>
          <w:rPr>
            <w:rFonts w:ascii="Arial" w:cs="Arial" w:eastAsia="Arial" w:hAnsi="Arial"/>
            <w:b w:val="0"/>
            <w:bCs w:val="0"/>
            <w:i w:val="0"/>
            <w:iCs w:val="0"/>
            <w:smallCaps w:val="0"/>
            <w:strike w:val="0"/>
            <w:color w:val="000080"/>
            <w:sz w:val="22"/>
            <w:szCs w:val="22"/>
            <w:u w:val="single"/>
            <w:shd w:fill="auto" w:val="clear"/>
            <w:vertAlign w:val="baseline"/>
            <w:rtl w:val="0"/>
          </w:rPr>
          <w:t xml:space="preserve">https://mmediu.ro/domenii/mediu/arii-naturale-protejate/zpb-pnrr-i-3/</w:t>
        </w:r>
      </w:hyperlink>
      <w:r>
        <w:rPr>
          <w:rFonts w:ascii="Arial" w:cs="Arial" w:eastAsia="Arial" w:hAnsi="Arial"/>
          <w:b w:val="0"/>
          <w:bCs w:val="0"/>
          <w:i w:val="0"/>
          <w:iCs w:val="0"/>
          <w:smallCaps w:val="0"/>
          <w:strike w:val="0"/>
          <w:color w:val="000000"/>
          <w:sz w:val="22"/>
          <w:szCs w:val="22"/>
          <w:u w:val="none"/>
          <w:shd w:fill="auto" w:val="clear"/>
          <w:vertAlign w:val="baseline"/>
          <w:rtl w:val="0"/>
        </w:rPr>
        <w:t xml:space="preserve"> </w:t>
      </w:r>
    </w:p>
    <w:sectPr>
      <w:pgSz w:h="16787" w:w="11870" w:orient="portrait"/>
      <w:pgMar w:bottom="1440" w:top="1440" w:left="1440" w:right="1440"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48"/>
      <w:szCs w:val="48"/>
      <w:u w:val="none"/>
      <w:shd w:fill="auto" w:val="clear"/>
      <w:vertAlign w:val="baseline"/>
    </w:rPr>
  </w:style>
  <w:style w:type="paragraph" w:styleId="Heading2">
    <w:name w:val="heading 2"/>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Arial" w:cs="Arial" w:eastAsia="Arial" w:hAnsi="Arial"/>
      <w:b w:val="1"/>
      <w:bCs w:val="1"/>
      <w:i w:val="0"/>
      <w:iCs w:val="0"/>
      <w:smallCaps w:val="0"/>
      <w:strike w:val="0"/>
      <w:color w:val="000000"/>
      <w:sz w:val="36"/>
      <w:szCs w:val="36"/>
      <w:u w:val="none"/>
      <w:shd w:fill="auto" w:val="clear"/>
      <w:vertAlign w:val="baseline"/>
    </w:rPr>
  </w:style>
  <w:style w:type="paragraph" w:styleId="Heading3">
    <w:name w:val="heading 3"/>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280" w:line="240" w:lineRule="auto"/>
      <w:ind w:left="0" w:right="0" w:firstLine="0"/>
      <w:jc w:val="left"/>
    </w:pPr>
    <w:rPr>
      <w:rFonts w:ascii="Arial" w:cs="Arial" w:eastAsia="Arial" w:hAnsi="Arial"/>
      <w:b w:val="1"/>
      <w:bCs w:val="1"/>
      <w:i w:val="0"/>
      <w:iCs w:val="0"/>
      <w:smallCaps w:val="0"/>
      <w:strike w:val="0"/>
      <w:color w:val="000000"/>
      <w:sz w:val="28"/>
      <w:szCs w:val="28"/>
      <w:u w:val="none"/>
      <w:shd w:fill="auto" w:val="clear"/>
      <w:vertAlign w:val="baseline"/>
    </w:rPr>
  </w:style>
  <w:style w:type="paragraph" w:styleId="Heading4">
    <w:name w:val="heading 4"/>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40" w:line="240" w:lineRule="auto"/>
      <w:ind w:left="0" w:right="0" w:firstLine="0"/>
      <w:jc w:val="left"/>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20" w:line="240" w:lineRule="auto"/>
      <w:ind w:left="0" w:right="0" w:firstLine="0"/>
      <w:jc w:val="left"/>
    </w:pPr>
    <w:rPr>
      <w:rFonts w:ascii="Arial" w:cs="Arial" w:eastAsia="Arial" w:hAnsi="Arial"/>
      <w:b w:val="1"/>
      <w:bCs w:val="1"/>
      <w:i w:val="0"/>
      <w:iCs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40" w:before="200" w:line="240" w:lineRule="auto"/>
      <w:ind w:left="0" w:right="0" w:firstLine="0"/>
      <w:jc w:val="left"/>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120" w:before="480" w:line="240" w:lineRule="auto"/>
      <w:ind w:left="0" w:right="0" w:firstLine="0"/>
      <w:jc w:val="left"/>
    </w:pPr>
    <w:rPr>
      <w:rFonts w:ascii="Arial" w:cs="Arial" w:eastAsia="Arial" w:hAnsi="Arial"/>
      <w:b w:val="1"/>
      <w:bCs w:val="1"/>
      <w:i w:val="0"/>
      <w:iCs w:val="0"/>
      <w:smallCaps w:val="0"/>
      <w:strike w:val="0"/>
      <w:color w:val="000000"/>
      <w:sz w:val="72"/>
      <w:szCs w:val="72"/>
      <w:u w:val="none"/>
      <w:shd w:fill="auto" w:val="clear"/>
      <w:vertAlign w:val="baseline"/>
    </w:rPr>
  </w:style>
  <w:style w:type="paragraph" w:styleId="Subtitle">
    <w:name w:val="Subtitle"/>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80" w:before="360" w:line="240" w:lineRule="auto"/>
      <w:ind w:left="0" w:right="0" w:firstLine="0"/>
      <w:jc w:val="left"/>
    </w:pPr>
    <w:rPr>
      <w:rFonts w:ascii="Georgia" w:cs="Georgia" w:eastAsia="Georgia" w:hAnsi="Georgia"/>
      <w:b w:val="0"/>
      <w:bCs w:val="0"/>
      <w:i w:val="1"/>
      <w:iCs w:val="1"/>
      <w:smallCaps w:val="0"/>
      <w:strike w:val="0"/>
      <w:color w:val="666666"/>
      <w:sz w:val="48"/>
      <w:szCs w:val="48"/>
      <w:u w:val="none"/>
      <w:shd w:fill="auto" w:val="clear"/>
      <w:vertAlign w:val="baseline"/>
    </w:rPr>
  </w:style>
  <w:style w:type="table" w:styleId="Table1">
    <w:basedOn w:val="TableNormal"/>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108.0" w:type="dxa"/>
        <w:bottom w:w="0.0" w:type="dxa"/>
        <w:right w:w="108.0" w:type="dxa"/>
      </w:tblCellMar>
    </w:tblPr>
  </w:style>
  <w:style w:type="table" w:styleId="Table3">
    <w:basedOn w:val="TableNormal"/>
    <w:tblPr>
      <w:tblStyleRowBandSize w:val="1"/>
      <w:tblStyleColBandSize w:val="1"/>
      <w:tblCellMar>
        <w:top w:w="0.0" w:type="dxa"/>
        <w:left w:w="108.0" w:type="dxa"/>
        <w:bottom w:w="0.0" w:type="dxa"/>
        <w:right w:w="108.0" w:type="dxa"/>
      </w:tblCellMar>
    </w:tblPr>
  </w:style>
  <w:style w:type="table" w:styleId="Table4">
    <w:basedOn w:val="TableNormal"/>
    <w:tblPr>
      <w:tblStyleRowBandSize w:val="1"/>
      <w:tblStyleColBandSize w:val="1"/>
      <w:tblCellMar>
        <w:top w:w="0.0" w:type="dxa"/>
        <w:left w:w="108.0" w:type="dxa"/>
        <w:bottom w:w="0.0" w:type="dxa"/>
        <w:right w:w="108.0" w:type="dxa"/>
      </w:tblCellMar>
    </w:tblPr>
  </w:style>
  <w:style w:type="table" w:styleId="Table5">
    <w:basedOn w:val="TableNormal"/>
    <w:tblPr>
      <w:tblStyleRowBandSize w:val="1"/>
      <w:tblStyleColBandSize w:val="1"/>
      <w:tblCellMar>
        <w:top w:w="0.0" w:type="dxa"/>
        <w:left w:w="108.0" w:type="dxa"/>
        <w:bottom w:w="0.0" w:type="dxa"/>
        <w:right w:w="108.0" w:type="dxa"/>
      </w:tblCellMar>
    </w:tblPr>
  </w:style>
  <w:style w:type="table" w:styleId="Table6">
    <w:basedOn w:val="TableNormal"/>
    <w:tblPr>
      <w:tblStyleRowBandSize w:val="1"/>
      <w:tblStyleColBandSize w:val="1"/>
      <w:tblCellMar>
        <w:top w:w="0.0" w:type="dxa"/>
        <w:left w:w="108.0" w:type="dxa"/>
        <w:bottom w:w="0.0" w:type="dxa"/>
        <w:right w:w="108.0" w:type="dxa"/>
      </w:tblCellMar>
    </w:tblPr>
  </w:style>
  <w:style w:type="table" w:styleId="Table7">
    <w:basedOn w:val="TableNormal"/>
    <w:tblPr>
      <w:tblStyleRowBandSize w:val="1"/>
      <w:tblStyleColBandSize w:val="1"/>
      <w:tblCellMar>
        <w:top w:w="0.0" w:type="dxa"/>
        <w:left w:w="108.0" w:type="dxa"/>
        <w:bottom w:w="0.0" w:type="dxa"/>
        <w:right w:w="108.0" w:type="dxa"/>
      </w:tblCellMar>
    </w:tblPr>
  </w:style>
  <w:style w:type="table" w:styleId="Table8">
    <w:basedOn w:val="TableNormal"/>
    <w:tblPr>
      <w:tblStyleRowBandSize w:val="1"/>
      <w:tblStyleColBandSize w:val="1"/>
      <w:tblCellMar>
        <w:top w:w="0.0" w:type="dxa"/>
        <w:left w:w="108.0" w:type="dxa"/>
        <w:bottom w:w="0.0" w:type="dxa"/>
        <w:right w:w="108.0" w:type="dxa"/>
      </w:tblCellMar>
    </w:tblPr>
  </w:style>
  <w:style w:type="table" w:styleId="Table9">
    <w:basedOn w:val="TableNormal"/>
    <w:tblPr>
      <w:tblStyleRowBandSize w:val="1"/>
      <w:tblStyleColBandSize w:val="1"/>
      <w:tblCellMar>
        <w:top w:w="0.0" w:type="dxa"/>
        <w:left w:w="108.0" w:type="dxa"/>
        <w:bottom w:w="0.0" w:type="dxa"/>
        <w:right w:w="108.0" w:type="dxa"/>
      </w:tblCellMar>
    </w:tblPr>
  </w:style>
  <w:style w:type="table" w:styleId="Table10">
    <w:basedOn w:val="TableNormal"/>
    <w:tblPr>
      <w:tblStyleRowBandSize w:val="1"/>
      <w:tblStyleColBandSize w:val="1"/>
      <w:tblCellMar>
        <w:top w:w="0.0" w:type="dxa"/>
        <w:left w:w="108.0" w:type="dxa"/>
        <w:bottom w:w="0.0" w:type="dxa"/>
        <w:right w:w="108.0" w:type="dxa"/>
      </w:tblCellMar>
    </w:tblPr>
  </w:style>
  <w:style w:type="table" w:styleId="Table11">
    <w:basedOn w:val="TableNormal"/>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mt61KBp9TLhQxRtPaz9OpAq5lww==">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YwVzNCNThiLW05RzFYSVVHMkJIX3J4MVcza3B6TWd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